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rFonts w:hint="default"/>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rFonts w:hint="default"/>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除申請教師年資採計至</w:t>
            </w:r>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r w:rsidR="00502D16" w:rsidRPr="005D65BD">
              <w:rPr>
                <w:rFonts w:ascii="標楷體" w:eastAsia="標楷體" w:hAnsi="標楷體"/>
                <w:b/>
                <w:kern w:val="0"/>
                <w:u w:val="single"/>
              </w:rPr>
              <w:t>餘一律採計至開放教師上介聘網站填報資料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應在同一學校實際服務滿六學期以上，且無下列各款情事者，始得申請介聘：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一、教師法第十四條第一項各款情事之一。</w:t>
            </w:r>
            <w:r w:rsidR="00502D16" w:rsidRPr="00502D16">
              <w:rPr>
                <w:rFonts w:ascii="標楷體" w:eastAsia="標楷體" w:hAnsi="標楷體" w:cs="新細明體" w:hint="eastAsia"/>
                <w:color w:val="000000"/>
                <w:kern w:val="0"/>
              </w:rPr>
              <w:br/>
              <w:t>二、涉校園性侵害、性騷擾或性霸凌事件，尚在調查階段。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依下列積分基準確實審核申請介聘教師之服務年資及積分，其積分採計以同級公立學校之間為限：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 申請介聘原因積分：最高九十分。</w:t>
            </w:r>
          </w:p>
        </w:tc>
        <w:tc>
          <w:tcPr>
            <w:tcW w:w="4480" w:type="dxa"/>
          </w:tcPr>
          <w:p w:rsidR="008D2FDC" w:rsidRPr="0042529D" w:rsidRDefault="00D530F6" w:rsidP="004F4D6A">
            <w:pPr>
              <w:snapToGrid w:val="0"/>
              <w:rPr>
                <w:rFonts w:ascii="標楷體" w:eastAsia="標楷體" w:hAnsi="標楷體"/>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母或父設籍不同縣(市)均可採計，例父設籍新北市，母設籍桃園</w:t>
            </w:r>
            <w:r w:rsidR="00F73DF7" w:rsidRPr="00B34AAC">
              <w:rPr>
                <w:rFonts w:ascii="標楷體" w:eastAsia="標楷體" w:hAnsi="標楷體" w:hint="eastAsia"/>
              </w:rPr>
              <w:t>市</w:t>
            </w:r>
            <w:r w:rsidRPr="00A42996">
              <w:rPr>
                <w:rFonts w:ascii="標楷體" w:eastAsia="標楷體" w:hAnsi="標楷體" w:hint="eastAsia"/>
                <w:color w:val="000000"/>
              </w:rPr>
              <w:t>，教師選填縣(市)甲為新北市，乙為桃園</w:t>
            </w:r>
            <w:r w:rsidR="00F73DF7" w:rsidRPr="00B34AAC">
              <w:rPr>
                <w:rFonts w:ascii="標楷體" w:eastAsia="標楷體" w:hAnsi="標楷體" w:hint="eastAsia"/>
              </w:rPr>
              <w:t>市</w:t>
            </w:r>
            <w:r w:rsidRPr="00A42996">
              <w:rPr>
                <w:rFonts w:ascii="標楷體" w:eastAsia="標楷體" w:hAnsi="標楷體" w:hint="eastAsia"/>
                <w:color w:val="000000"/>
              </w:rPr>
              <w:t>，皆可採計為90分，惟選填縣(市)須為年滿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w:t>
            </w:r>
            <w:r w:rsidR="002E57DE">
              <w:rPr>
                <w:rFonts w:ascii="標楷體" w:eastAsia="標楷體" w:hAnsi="標楷體" w:hint="eastAsia"/>
                <w:color w:val="000000"/>
              </w:rPr>
              <w:t>市</w:t>
            </w:r>
            <w:r w:rsidRPr="0007184A">
              <w:rPr>
                <w:rFonts w:ascii="標楷體" w:eastAsia="標楷體" w:hAnsi="標楷體" w:hint="eastAsia"/>
                <w:color w:val="000000"/>
              </w:rPr>
              <w:t>，單身教師選填縣(市)甲為新北市，乙為桃園</w:t>
            </w:r>
            <w:r w:rsidR="002E57DE">
              <w:rPr>
                <w:rFonts w:ascii="標楷體" w:eastAsia="標楷體" w:hAnsi="標楷體" w:hint="eastAsia"/>
                <w:color w:val="000000"/>
              </w:rPr>
              <w:t>市</w:t>
            </w:r>
            <w:r w:rsidRPr="0007184A">
              <w:rPr>
                <w:rFonts w:ascii="標楷體" w:eastAsia="標楷體" w:hAnsi="標楷體" w:hint="eastAsia"/>
                <w:color w:val="000000"/>
              </w:rPr>
              <w:t>，皆可採計為60分。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rPr>
            </w:pPr>
            <w:r w:rsidRPr="002E57DE">
              <w:rPr>
                <w:rFonts w:ascii="標楷體" w:eastAsia="標楷體" w:hAnsi="標楷體" w:hint="eastAsia"/>
              </w:rPr>
              <w:t>1.各階段別不可以合併採計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rPr>
              <w:t>2.</w:t>
            </w:r>
            <w:r w:rsidRPr="002E57DE">
              <w:rPr>
                <w:rFonts w:ascii="標楷體" w:eastAsia="標楷體" w:hAnsi="標楷體" w:hint="eastAsia"/>
                <w:b/>
                <w:u w:val="single"/>
              </w:rPr>
              <w:t>教師在本縣(市)連續服務期間服義務役年資可以採計，惟不含志願役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育嬰留職停薪年資得以採計。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)服務年資符合行政院服務獎章頒發之服務認定標準年資者准併計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b/>
                <w:u w:val="single"/>
              </w:rPr>
              <w:t>5.教師借調教育部、各縣市教育局(處)或商借至海外臺灣學校服務，其借調或商借年資得採計年資積分。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2.試用教師必須持有試用教師證始得採計。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務及導師年資，得合併計算，以較低之職務為採計基準核給分數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2.積分採計自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r w:rsidRPr="002E57DE">
              <w:rPr>
                <w:rFonts w:ascii="標楷體" w:eastAsia="標楷體" w:hint="eastAsia"/>
              </w:rPr>
              <w:t>含留職停薪年資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學中心及公務人員終身學習護照等數位學習時數，需經主管教育行政機關核可，方可採計。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積分採計自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r w:rsidRPr="002E57DE">
              <w:rPr>
                <w:rFonts w:eastAsia="標楷體" w:cs="Tahoma" w:hint="eastAsia"/>
              </w:rPr>
              <w:t>含留</w:t>
            </w:r>
            <w:r w:rsidRPr="000179A1">
              <w:rPr>
                <w:rFonts w:eastAsia="標楷體" w:cs="Tahoma" w:hint="eastAsia"/>
                <w:color w:val="000000"/>
              </w:rPr>
              <w:t>職停薪</w:t>
            </w:r>
            <w:r w:rsidR="00AA67B8">
              <w:rPr>
                <w:rFonts w:eastAsia="標楷體" w:cs="Tahoma" w:hint="eastAsia"/>
                <w:color w:val="000000"/>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服務為限介聘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後再回本縣市年資不予併計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如申請介聘至非現職服務學校之聘任教科(類)別，須取得該科（類）別教師證書後，在該科(類)別最近三年內任教一年以上之證明文件(當年度每週應授正式課程時數二</w:t>
            </w:r>
            <w:r w:rsidRPr="000B188C">
              <w:rPr>
                <w:rFonts w:ascii="標楷體" w:eastAsia="標楷體" w:hAnsi="標楷體" w:hint="eastAsia"/>
                <w:color w:val="FF0000"/>
              </w:rPr>
              <w:lastRenderedPageBreak/>
              <w:t>分之一以上)。申請介聘教師在調出時，以現職服務學校原聘任之科(類)別供其他教師調入。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國中、小專任輔導教師申請介聘，僅限於現任各縣(市)增置專任輔導教師之間進行介聘。</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教師依第二項規定以資賦優異類教師合格證書提出介聘至同一教育階段學</w:t>
            </w:r>
          </w:p>
          <w:p w:rsidR="005D23C6"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校資優班，得免提出最近三年內任教一年以上之證明文件。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95" w:rsidRDefault="008A1495">
      <w:r>
        <w:separator/>
      </w:r>
    </w:p>
  </w:endnote>
  <w:endnote w:type="continuationSeparator" w:id="0">
    <w:p w:rsidR="008A1495" w:rsidRDefault="008A1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FA1DFB" w:rsidP="000A53EC">
    <w:pPr>
      <w:pStyle w:val="a5"/>
      <w:framePr w:wrap="around" w:vAnchor="text" w:hAnchor="margin" w:xAlign="center" w:y="1"/>
      <w:rPr>
        <w:rStyle w:val="a7"/>
      </w:rPr>
    </w:pPr>
    <w:r>
      <w:rPr>
        <w:rStyle w:val="a7"/>
      </w:rPr>
      <w:fldChar w:fldCharType="begin"/>
    </w:r>
    <w:r w:rsidR="007B7E94">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95" w:rsidRDefault="008A1495">
      <w:r>
        <w:separator/>
      </w:r>
    </w:p>
  </w:footnote>
  <w:footnote w:type="continuationSeparator" w:id="0">
    <w:p w:rsidR="008A1495" w:rsidRDefault="008A1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3007D"/>
    <w:rsid w:val="00041212"/>
    <w:rsid w:val="000435D0"/>
    <w:rsid w:val="00046244"/>
    <w:rsid w:val="00062B19"/>
    <w:rsid w:val="00066002"/>
    <w:rsid w:val="0007184A"/>
    <w:rsid w:val="00085513"/>
    <w:rsid w:val="00091058"/>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F4D6A"/>
    <w:rsid w:val="004F51B5"/>
    <w:rsid w:val="004F7CFA"/>
    <w:rsid w:val="0050248E"/>
    <w:rsid w:val="00502D16"/>
    <w:rsid w:val="00524687"/>
    <w:rsid w:val="00526679"/>
    <w:rsid w:val="00526889"/>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495"/>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001A"/>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2B57"/>
    <w:rsid w:val="00F95FEC"/>
    <w:rsid w:val="00FA1DFB"/>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D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1DFB"/>
    <w:pPr>
      <w:jc w:val="center"/>
    </w:pPr>
    <w:rPr>
      <w:rFonts w:ascii="標楷體" w:eastAsia="標楷體" w:hAnsi="標楷體" w:hint="eastAsia"/>
      <w:sz w:val="38"/>
    </w:rPr>
  </w:style>
  <w:style w:type="paragraph" w:styleId="2">
    <w:name w:val="Body Text Indent 2"/>
    <w:basedOn w:val="a"/>
    <w:rsid w:val="00FA1DFB"/>
    <w:pPr>
      <w:snapToGrid w:val="0"/>
      <w:spacing w:beforeLines="50"/>
      <w:ind w:left="480" w:hangingChars="200" w:hanging="480"/>
    </w:pPr>
    <w:rPr>
      <w:rFonts w:ascii="標楷體" w:eastAsia="標楷體" w:hAnsi="標楷體" w:hint="eastAsia"/>
    </w:rPr>
  </w:style>
  <w:style w:type="paragraph" w:styleId="3">
    <w:name w:val="Body Text Indent 3"/>
    <w:basedOn w:val="a"/>
    <w:rsid w:val="00FA1DFB"/>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rsid w:val="00FA1DFB"/>
    <w:pPr>
      <w:tabs>
        <w:tab w:val="center" w:pos="4153"/>
        <w:tab w:val="right" w:pos="8306"/>
      </w:tabs>
      <w:snapToGrid w:val="0"/>
    </w:pPr>
    <w:rPr>
      <w:sz w:val="20"/>
      <w:szCs w:val="20"/>
    </w:rPr>
  </w:style>
  <w:style w:type="character" w:styleId="a7">
    <w:name w:val="page number"/>
    <w:basedOn w:val="a0"/>
    <w:rsid w:val="00FA1DFB"/>
  </w:style>
  <w:style w:type="paragraph" w:styleId="a8">
    <w:name w:val="header"/>
    <w:basedOn w:val="a"/>
    <w:rsid w:val="00FA1DFB"/>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gen</cp:lastModifiedBy>
  <cp:revision>2</cp:revision>
  <cp:lastPrinted>2017-04-19T07:45:00Z</cp:lastPrinted>
  <dcterms:created xsi:type="dcterms:W3CDTF">2017-04-19T07:46:00Z</dcterms:created>
  <dcterms:modified xsi:type="dcterms:W3CDTF">2017-04-19T07:46:00Z</dcterms:modified>
</cp:coreProperties>
</file>